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56 vom 3. März 2026</w:t>
      </w:r>
    </w:p>
    <w:p>
      <w:r>
        <w:t>VS Kantonsgericht, 2026-03-03, FR</w:t>
      </w:r>
    </w:p>
    <w:p>
      <w:r>
        <w:rPr>
          <w:b/>
        </w:rPr>
        <w:t xml:space="preserve">Quelle: </w:t>
      </w:r>
      <w:r>
        <w:t>https://mcp.opencaselaw.ch/entscheid/vs_gerichte_S1 25 56</w:t>
      </w:r>
    </w:p>
    <w:p>
      <w:r>
        <w:t>FR: VS_GERICHTE S1 25 56 du 3 mars 2026</w:t>
      </w:r>
    </w:p>
    <w:p>
      <w:r>
        <w:t>IT: VS_GERICHTE S1 25 56 del 3 marzo 2026</w:t>
      </w:r>
    </w:p>
    <w:p>
      <w:pPr>
        <w:pStyle w:val="Heading2"/>
      </w:pPr>
      <w:r>
        <w:t>Erwägungen</w:t>
      </w:r>
    </w:p>
    <w:p>
      <w:r>
        <w:rPr>
          <w:b/>
        </w:rPr>
        <w:t>E. 1.1</w:t>
      </w:r>
    </w:p>
    <w:p>
      <w:r>
        <w:t>Selon l'article 1 alinéa 1 de la loi fédérale sur l’assurance-invalidité (LAI), les dispositions de la loi fédérale sur la partie générale du droit des assurances sociales (LPGA) s'appliquent à l'AI (art. 1a à 26bis et 28 à 70), à moins que la LAI n'y déroge expressément. Posté le 8 avril 2025, le présent recours à l'encontre de la décision du 10 mars précédent a été interjeté dans le délai légal de trente jours (art. 60 LPGA) et devant l'instance compétente (art. 56 et 57 LPGA et 69 al. 1 let. a LAI ; art. 81a al. 1 de la loi cantonale sur la procédure et la juridiction administratives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(LAI [Développement continu de l’AI], modification du 19 juin 2020, RO 2021 705, et règlement sur l’assurance-</w:t>
      </w:r>
    </w:p>
    <w:p>
      <w:r>
        <w:t>- 13 - invalidité [RAI], modification du 3 novembre 2021, RO 2021 706). Conformément aux règles de droit transitoire, c’est le nouveau droit qui est applicable, compte tenu de la date de la nouvelle demande de prestations et des faits juridiquement déterminants.</w:t>
      </w:r>
    </w:p>
    <w:p>
      <w:r>
        <w:rPr>
          <w:b/>
        </w:rPr>
        <w:t>E. 2</w:t>
      </w:r>
    </w:p>
    <w:p>
      <w:r>
        <w:t>juillet 2021 consid. 3.2 et la référence).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du Tribunal fédéral 8C_667/2012 du 12 juin 2013 consid. 4.2 ; arrêt du Tribunal fédéral des assurances U 571/06 du 29 mai 2007 consid. 4.2 et les références).</w:t>
      </w:r>
    </w:p>
    <w:p>
      <w:r>
        <w:rPr>
          <w:b/>
        </w:rPr>
        <w:t>E. 2.1</w:t>
      </w:r>
    </w:p>
    <w:p>
      <w:r>
        <w:t>A teneur de l'article 17 alinéa 1 LPGA, la rente d’invalidité est, d’office ou sur demande, révisée pour l’avenir, à savoir augmentée, réduite ou supprimée, lorsque le taux d’invalidité de l’assuré : subit une modification d’au moins 5 points de pourcentage (let. a), ou atteint 100 % (let. b). De même, toute prestation durable accordée en vertu d’une décision entrée enforce est, d’office ou sur demande, augmentée ou réduite en conséquence, ou encore supprimée si les circonstances dont dépendait son octroi changent notablement (art. 17 al. 2 LPGA). Les règles sur la révision d’une rente sont applicables par analogie à toute nouvelle demande de rente après un précédent refus (ATF 147 V 167 consid. 4.1, 133 V 108 consid. 5 et 130 V 71 consid. 3.2).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w:t>
      </w:r>
    </w:p>
    <w:p>
      <w:r>
        <w:rPr>
          <w:b/>
        </w:rPr>
        <w:t>E. 2.2</w:t>
      </w:r>
    </w:p>
    <w:p>
      <w:r>
        <w:t>Est réputée invalidité l’incapacité de gain totale ou partielle qui est présumée permanente ou de longue durée, résultant d’une infirmité congénitale, d’une maladie ou d’un accident (art. 8 al. 1 LPGA ; 4 al. 1 LAI).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w:t>
      </w:r>
    </w:p>
    <w:p>
      <w:r>
        <w:t>- 14 - persiste après les traitements et les mesures de réadaptation exigibles.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sont reconnues l’existence d’une incapacité de travail d’au moins 40 % en moyenne durant une année et la présence d’une invalidité de 40 % au terme de cette année dite d’attente (art. 28 al. 1 let. b et c LAI). Il peut en outre prétendre à une mesure de reclassement, au sens de l’article 17 LAI, s’il est invalide à 20 % environ (ATF 139 V 399 consid. 5.3, 130 V 488 consid. 4.2 et 124 V 108 consid. 2b).</w:t>
      </w:r>
    </w:p>
    <w:p>
      <w:r>
        <w:rPr>
          <w:b/>
        </w:rPr>
        <w:t>E. 2.3</w:t>
      </w:r>
    </w:p>
    <w:p>
      <w:r>
        <w:t>Les atteintes à la santé psychique peuvent, comme les atteintes physiques, entraîner une invalidité au sens de l’article 4 alinéa 1 LAI en lien avec l’article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devant être déterminée aussi objectivement que possible (art. 7 al. 2 2ème phrase LPGA ; ATF 141 V 281 consid. 3.7.1 et 127 V 294 consid. 4c in fine). La reconnaissance de l'existence d'une atteinte à la santé psychique suppose la présence d'un diagnostic émanant d'un expert (psychiatre) et s'appuyant selon les règles de l'art sur les critères d'un système de classification reconnu, tel le CIM-10 ou le DSM- V (ATF 143 V 409 consid. 4.5.2, 141 V 281 consid. 2.2 et 3.2 ; arrêts du Tribunal fédéral 9C_430/2020 du 17 mars 2021 consid. 2.2 et 8C_841/2016 du 30 novembre 2017 consid. 4.5.2). En général, toutes affections psychiques doivent faire l’objet d’une procédure probatoire structurée au sens de l’ATF 141 V 281 (ATF 143 V 418), y compris les syndromes de dépendance primaire (ATF 145 V 215) et les troubles dépressifs de degré léger à moyen (ATF 143 V 409 et 418). Une expertise psychiatrique est en principe nécessaire quand il s'agit de se prononcer sur l'incapacité de travail que les troubles douloureux somatoformes (F45.4) sont susceptibles d'entraîner (ATF 130 V 352 consid. 2.2.2). Ceci est aussi valable pour les pathologies similaires (ATF 141 V 281 consid. 4.2, 140 V 8 consid. 2.2.1.3 ; voir aussi ATF 142 V 324), telle la fibromyalgie bien que le diagnostic de celle-ci soit d'abord le fait d'un médecin rhumatologue (ATF 132 V 65 consid. 4.3, 130 V 353 consid. 2.2.2 et 5.3.2 ;</w:t>
      </w:r>
    </w:p>
    <w:p>
      <w:r>
        <w:t>- 15 - arrêt du Tribunal fédéral 9C_701/2020 du 6 septembre 2021 consid.4.1). Une expertise interdisciplinaire tenant à la fois compte des aspects rhumatologiques et psychiques apparaît donc comme la mesure adéquate pour établir de manière objective si l'assuré présente un état douloureux d'une gravité telle que la mise en valeur de sa capacité de travail sur le marché du travail ne peut plus du tout ou seulement partiellement être exigée de sa part (ATF 132 V 65 consid. 4.3 ; arrêt du Tribunal fédéral 9C_176/2018 du 16 août 2018 consid. 3.2.2). La modification de la jurisprudence ayant conduit à l'introduction d'une grille d'évaluation normative et structurée du caractère invalidant des troubles psychiques au moyen d'indicateurs standards (ATF 143 V 409, 143 V 418 et 141 V 281) n'a rien changé à cette pratique : la fibromyalgie est toujours considérée comme faisant partie des pathologies psychosomatiques et son évaluation sur le plan de la capacité de travail est par conséquent soumise à la grille d'évaluation mentionnée (arrêts du Tribunal fédéral 9C_701/2020 consid. 4.1 et 9C_808/2019 du 18 août 2020 consid. 5.2). Comme auparavant, les évaluations et limitations subjectives de la personne assurée qui ne peuvent pas être expliquées d'un point de vue médical ne forment pas d'atteintes à la santé invalidantes (ATF 141 V 281 consid. 3.7.1). La nouvelle procédure d’instruction doit se baser sur les indicateurs suivants (DFI OFAS Lettre circulaire AI no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2.4</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Les renseignements fournis par les médecins constituent une base importante pour apprécier la question de savoir quelle activité peut encore être raisonnablement exigée</w:t>
      </w:r>
    </w:p>
    <w:p>
      <w:r>
        <w:t>- 16 - de la part de l’assuré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148 V 49 consid. 6.2.1, 135 V 465 consid. 4.4, 125 V 351 consid. 3a, 122 V 157 consid. 1c et les références). Selon la jurisprudence, peut notamment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143 V 269 consid. 6.2.3.2, 135 V 465 consid. 4.4 ; arrêt du Tribunal fédéral 8C_711/2020 du</w:t>
      </w:r>
    </w:p>
    <w:p>
      <w:r>
        <w:rPr>
          <w:b/>
        </w:rPr>
        <w:t>E. 2.4.2</w:t>
      </w:r>
    </w:p>
    <w:p>
      <w:r>
        <w:t>; arrêt du Tribunal administratif fédéral C-5204/2018 du 12 mai 2021 consid. 6.4.4). Cela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8C_517/2017 du 12 juillet 2018 consid. 6.1). Un rapport du SMR a pour fonction d’opérer la synthèse des renseignements médicaux versés au dossier et de prodiguer des recommandations quant à la suite à donner au dossier sur le plan médical (arrêt du Tribunal fédéral 9C_433/2023 du 12 mars 2024 consid. 4.5). En tant qu'il ne contient aucune observation clinique, il se distingue d'une expertise médicale (art. 44 LPGA) ou d'un examen médical auquel il arrive au SMR de procéder (art. 49 al. 2 RAI ; arrêt du Tribunal fédéral 8C_616/2020 du 15 juin 2021</w:t>
      </w:r>
    </w:p>
    <w:p>
      <w:r>
        <w:t>- 18 - consid. 6.2.4).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9C_670/2020 du 28 juillet 2020 consid. 3.2 et 9C_518/2007 du 14 juillet 2008 consid. 3.2).</w:t>
      </w:r>
    </w:p>
    <w:p>
      <w:r>
        <w:rPr>
          <w:b/>
        </w:rPr>
        <w:t>E. 2.5</w:t>
      </w:r>
    </w:p>
    <w:p>
      <w:r>
        <w:t>Selon le principe de la libre appréciation des preuves (art. 61 let. c LPGA), le juge apprécie librement les preuves médicales qu’il a recueillies, sans être lié par des règles formelles, en procédant à une appréciation complète et rigoureuse.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w:t>
      </w:r>
    </w:p>
    <w:p>
      <w:r>
        <w:t>- 17 -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134 V 231 consid. 5.1, 125 V 351 consid. 3a ; arrêt du Tribunal fédéral 8C_510/2020 du 15 avril 2021 consid. 2.4).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Étant donné que ces derniers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considérant 3a. Pour ces motifs et compte tenu du fait d'expérience que les médecins traitants, en raison de la relation de confiance qu'ils entretiennent avec leurs patients, se prononcent en cas de doute plutôt en faveur de ceux-ci, la prise en charge d'une prestation fondée directement et uniquement sur leurs indications n'interviendra que très rarement dans un litige (ATF 135 V 465 consid. 4.4 et 4.5). Cette constatation s'applique de même aux médecins non traitants consultés par l'assuré en vue d'obtenir un moyen de preuve à l'appui de sa requête (arrêt du Tribunal fédéral 8C_558/2008 du 17 mars 2009 consid.</w:t>
      </w:r>
    </w:p>
    <w:p>
      <w:r>
        <w:rPr>
          <w:b/>
        </w:rPr>
        <w:t>E. 2.6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w:t>
      </w:r>
    </w:p>
    <w:p>
      <w:r>
        <w:rPr>
          <w:b/>
        </w:rPr>
        <w:t>E. 3.1</w:t>
      </w:r>
    </w:p>
    <w:p>
      <w:r>
        <w:t>En l’espèce, il convient de comparer l’état de fait au moment du dernier examen matériel du droit à la rente, soit au moment de la décision du 30 novembre 2020, à celui existant lors de la décision litigieuse du 10 mars 2025. Au moment du premier refus de rente, la recourante présentait une hernie discale, une spondylarthrose cervicale ainsi qu’un status post-fusion C6-C7. Une pleine capacité de travail lui avait été reconnue dans toute activité totalement adaptée à son état de santé (pas de positions statiques au-delà d’une heure, pas de travail au-dessus de la hauteur des épaules, pas de port de charges plus de 5 kg plusieurs fois par jour).</w:t>
      </w:r>
    </w:p>
    <w:p>
      <w:r>
        <w:rPr>
          <w:b/>
        </w:rPr>
        <w:t>E. 3.2</w:t>
      </w:r>
    </w:p>
    <w:p>
      <w:r>
        <w:t>Dans un premier grief, la recourante s’en prend à la valeur probante des rapports d’expertise sur lesquels s’est essentiellement fondé le SMR pour lui reconnaître une pleine capacité de travail dans une activité légère et adaptée. A la lecture des rapports d’expertise des 14 août 2024 et 5 novembre suivant, la Cour estime toutefois que ceux-ci revêtent entière valeur probante. En effet, les experts ont d’abord résumé la teneur des éléments au dossier, avant de recueillir l’anamnèse et d’examiner l’assurée. Ils ont également tenu compte des plaintes de cette dernière, évalué ses ressources, effectué un contrôle de cohérence, pris position sur les mesures médicales et thérapeutiques, ainsi que répondu aux questions qui leur ont été soumises</w:t>
      </w:r>
    </w:p>
    <w:p>
      <w:r>
        <w:t>- 19 - dans le cadre du mandat d’expertise. Par ailleurs, le SMR a considéré que les conclusions de ces rapports pouvaient être validées sur le plan médical. Ainsi, la recourante conteste à tort la valeur probante des expertises des Drs J _________ et K _________.</w:t>
      </w:r>
    </w:p>
    <w:p>
      <w:r>
        <w:rPr>
          <w:b/>
        </w:rPr>
        <w:t>E. 3.3</w:t>
      </w:r>
    </w:p>
    <w:p>
      <w:r>
        <w:t>La recourante reproche encore à l’intimé de n’avoir manifestement pas pris en considération l’ensemble des éléments évoqués par plusieurs spécialistes, lesquels avaient exposé de façon détaillée et circonstanciée leur analyse et conclu à une incapacité totale de travail dans toute activité. Il convient dès lors d’examiner si les rapports dont se prévaut l’intéressée sont de nature à éveiller des doutes sur la fiabilité et la validité des constatations des experts, respectivement du SMR. S’agissant du rapport psychiatrique du CHUV du 22 juillet 2024, il semble avoir été établi sur la seule base des informations relatées par l’intéressée et des constatations faites lors des deux entretiens menés par les praticiens durant la période d’hospitalisation. De l’aveu même de ces derniers, leur évaluation était limitée en raison de la brièveté de leurs observations. Quant au bilan global du Service de rhumatologie du CHUV du 15 juillet précédent, il ne fait qu’indiquer les résultats obtenus par la recourante aux différents tests réalisés, sans expliquer les motifs concrets qui ont permis de poser les diagnostics retenus. Pour ce qui est du consensus sur la capacité de travail formulée par les médecins du CHUV, l’incapacité de travail attestée ne repose aucunement sur des éléments médicaux objectifs, mais uniquement sur les ressources de l’assurée, considérées comme très limitées sur le plan physique, cognitif, culturel, social et émotionnel. Eu égard au caractère très général des deux rapports du CHUV et de leurs conclusions, force est de constater qu’ils ne sont pas aptes à mettre sérieusement en doute la pertinence des déductions des experts qui ont, de leur côté et comme mentionné au considérant précédent, procédé à une analyse complète des pièces au dossier et dûment motivé leurs appréciations. Les deux rapports produits par le CCPP et le Dr E _________ à l’appui de la contestation de la recourante relative au projet de décision de l’OAI du 19 novembre 2024 ne lui viennent pas non plus en aide. En effet, le rapport du 20 décembre 2024 du médecin généraliste atteste d’une dégradation de la motricité de sa patiente sans faire valoir le moindre argument médical, sous réserve d’un renvoi au bilan du CHUV mentionné plus haut. Sur le plan psychiatrique, le Dr E _________ retient, là aussi sans exposer son raisonnement, les diagnostics de trouble anxieux et dépressif mixte (F41.2) avec épisode dépressif sévère et symptômes psychotiques (F32.3). La Cour relève que ceux-ci ne sont admis ni par l’experte psychiatre ni par le SMR et ne correspondent pas plus à ceux</w:t>
      </w:r>
    </w:p>
    <w:p>
      <w:r>
        <w:t>- 20 - retenus par les psychiatres du CHUV. Enfin, comme le note à juste titre la Dresse H _________ dans son avis du 17 février 2025, le rapport du CCPP du 10 janvier 2025, qui ne pose pas de diagnostic clair et motivé, n’apporte pas de nouvel élément objectif susceptible de modifier les précédentes conclusions du SMR. Ainsi, ces deux rapports ne sont pas non plus de nature à mettre en doute l’examen circonstancié des experts mandatés par l’OAI.</w:t>
      </w:r>
    </w:p>
    <w:p>
      <w:r>
        <w:rPr>
          <w:b/>
        </w:rPr>
        <w:t>E. 3.4</w:t>
      </w:r>
    </w:p>
    <w:p>
      <w:r>
        <w:t>Selon la recourante, au vu du diagnostic de fibromyalgie retenu par le Service de rhumatologie du CHUV et de la jurisprudence du Tribunal fédéral en la matière, l’intimé ne pouvait pas se satisfaire de deux expertises monodisciplinaires psychiatrique et rhumatologique, mais aurait dû mettre en œuvre une expertise bidisciplinaire. Il est vrai qu’une expertise interdisciplinaire tenant à la fois compte des aspects rhumatologiques et psychiques constitue en principe la mesure adéquate pour établir de manière objective si l'assuré présente un état douloureux d'une gravité telle que la mise en valeur de sa capacité de travail sur le marché du travail ne peut plus du tout ou seulement partiellement être exigée de sa part (cf. supra consid. 2.3). Cependant, la mise en œuvre d’une telle expertise ne se justifie pas en l’espèce, dès lors que le diagnostic de fibromyalgie, de même que tout autre trouble somatoforme douloureux, a été exclu sur la seule base de l’expertise monodisciplinaire rhumatologique. Or, si le concours d’un psychiatre est en principe nécessaire, le diagnostic de fibromyalgie est d'abord le fait d'un médecin rhumatologue (ATF 132 V 65 consid. 4.3 ; arrêt du Tribunal fédéral 9C_435/2022 du 20 juin 2023 consid. 5.1). En l’occurence, le Dr K _________ a expliqué de manière compréhensible pour quelles raisons il fallait considérer que l’intéressée ne répondait pas aux critères ACR 2010 modifiés 2016 de la fibromyalgie, mentionnant en particulier que le syndrome douloureux n’était pas diffus et n’atteignait pas quatre régions du corps. Il se limitait au rachis cervical et, à moindre degré, à la ceinture scapulaire. Comme cela ressort du considérant 3.3 ci- dessus, cette appréciation n’a été mise en cause par aucun autre avis médical au dossier. En particulier, le bilan global du Service de rhumatologie du CHUV du 15 juillet 2024 ne fait qu’indiquer les résultats obtenus par la recourante aux tests FiRST et PDS, sans expliquer quels éléments du cas d’espèce permettaient de retenir le diagnostic de fibromyalgie. On relève également que si les praticiens du CCPP mentionnent, dans leur rapport du 12 septembre 2023, qu’un trouble psychosomatique est envisageable, ils restent totalement muets à ce sujet dans celui du 10 janvier 2025. Il en va de même du rapport du 20 décembre 2024 du Dr E _________, qui ne dit mot d’un éventuel trouble somatoforme douloureux. Il sied en outre de rappeler que l’experte psychiatre admet la</w:t>
      </w:r>
    </w:p>
    <w:p>
      <w:r>
        <w:t>- 21 - plausibilité d’un syndrome douloureux somatoforme persistant, dans la mesure où les plaintes psychiques alléguées par la recourante étaient selon cette dernière clairement en lien avec les plaintes douloureuses, tout en précisant que celui-ci n’était, en tout état de cause, pas incapacitant. Quand bien même il est incontestable qu’il n’y a pas eu d’expertise bidisciplinaire avec une discussion consensuelle, la Cour observe toutefois que les experts ont analysé le cas de la recourante en fonction des exigences jurisprudentielles, selon les critères di degré de gravité fonctionnelle de l’atteinte à la santé et de la cohérence du point de vue du comportement de la personne assurée. Le Tribunal fédéral a par ailleurs eu l’occasion de préciser qu’une telle discussion consensuelle est certes idéale, mais pas obligatoire (ATF 143 V 124 consid. 2.2.4 et les références). En l’espèce, les experts, de même que d’autres spécialistes dont les rapports se trouvent au dossier, ont en particulier indiqué qu’il n’était pas possible d’éliminer formellement une majoration des plaintes physiques et psychiques chez une assurée très démonstrative, d’autant plus que les résultats de l’examen neuropsychologique du 26 mars 2024 avaient montré des incohérences et n’avaient pas pu être validés. Les experts ont au demeurant conclu que les ressources dont disposait la recourante l’emportaient sur les facteurs de contrainte que représentaient ses atteintes physiques et psychiques. Les Drs J _________ et K _________ ont tous deux constatés qu’il n’y avait pas de limitation uniforme au niveau des activités dans tous les domaines comparables de la vie, la recourante se considérant comme incapable de travailler alors qu’elle était autonome pour l’intégralité des activités de la vie quotidienne (déplacements en transports publics, tâches ménagères, repas), qu’elle s’occupait de sa fille et qu’elle avait été en mesure de se rendre en F _________ avec sa famille. Elle disposait en outre de ressources externes adéquates, essentiellement intra-familiales. Au vu des circonstances particulières du cas d’espèce, la Cour retient que l’absence de discussion consensuelle entre les deux experts ne justifie pas de s’éloigner de leurs conclusions respectives, lesquelles ne sont d’ailleurs pas incompatibles.</w:t>
      </w:r>
    </w:p>
    <w:p>
      <w:r>
        <w:rPr>
          <w:b/>
        </w:rPr>
        <w:t>E. 3.5</w:t>
      </w:r>
    </w:p>
    <w:p>
      <w:r>
        <w:t>Se pose enfin la question du bien-fondé de la reconnaissance d’une pleine capacité de travail dans toute activité adaptée par le SMR, alors que l’expert rhumatologue retient quant à lui une capacité de travail de 90 % (100 % avec baisse de rendement de 10 % en raison des douleurs). Dans la mesure où les limitations fonctionnelles admises en 2025 sont assimilables à celles retenue en 2020 et au vu de la nature subjective de la notion de douleur, l’on ne</w:t>
      </w:r>
    </w:p>
    <w:p>
      <w:r>
        <w:t>- 22 - saurait reprocher au SMR, dont les conclusions ont été reprises telles quelles par l’OAI, d’avoir nié toute aggravation objective, significative et durable de l’état de santé de la recourante et, partant, d’avoir considéré qu’aucun motif ne justifiait de modifier la capacité de travail telle que retenue dans la décision du 30 novembre 2020.</w:t>
      </w:r>
    </w:p>
    <w:p>
      <w:r>
        <w:rPr>
          <w:b/>
        </w:rPr>
        <w:t>E. 3.6</w:t>
      </w:r>
    </w:p>
    <w:p>
      <w:r>
        <w:t>Au vu de ce qui précède, la Cour conclut que même si l’état de santé psychique de la recourante semble avoir évolué depuis 2020, il n’entraîne pas d’incapacité de travail et reste pleinement compatible avec l’exercice à 100 % d’une activité légère et adaptée, respectant des limitations fonctionnelles superposables à celles retenue au moment de la première décision de l’intimé. En l’absence d’une évolution notable de son état de santé, les conditions ouvrant le droit à une rente d’invalidité ne sont pas remplies in casu. Partant, le recours est rejeté et la décision de l’OAI du 10 mars 2025 confirmée.</w:t>
      </w:r>
    </w:p>
    <w:p>
      <w:r>
        <w:rPr>
          <w:b/>
        </w:rPr>
        <w:t>E. 4</w:t>
      </w:r>
    </w:p>
    <w:p>
      <w:r>
        <w:t>Les frais judiciaires, fixés sur le vu du principe de la couverture des frais et de l’équivalence des prestations à 500 fr., sont mis à la charge de la recourante qui succombe (art. 61 let. fbis LPGA, art. 69 al. 1bis LAI, art. 1 al. 2, 81a al. 2, 89 al. 1 LPJA) et compensés avec son avance. En outre, eu égard à l’issue de la cause, elle ne peut pas prétendre à des dépens (art. 61 let. g LPGA a contrario).</w:t>
      </w:r>
    </w:p>
    <w:p>
      <w:r>
        <w:t>Prononce</w:t>
      </w:r>
    </w:p>
    <w:p>
      <w:r>
        <w:t>1. Le recours est rejeté. 2. Les frais, par 500 francs, sont mis à la charge de X _________. 3. Il n’est pas alloué de dépens. Sion, le 3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